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tabs>
          <w:tab w:val="left" w:pos="-142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lang w:eastAsia="zh-CN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</w:tabs>
        <w:rPr>
          <w:b/>
          <w:sz w:val="28"/>
          <w:szCs w:val="20"/>
          <w:lang w:eastAsia="zh-CN"/>
        </w:rPr>
      </w:pPr>
      <w:r>
        <w:rPr>
          <w:b/>
          <w:sz w:val="28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3194685</wp:posOffset>
                </wp:positionH>
                <wp:positionV relativeFrom="paragraph">
                  <wp:posOffset>339090</wp:posOffset>
                </wp:positionV>
                <wp:extent cx="2796540" cy="2240280"/>
                <wp:effectExtent l="0" t="0" r="3810" b="7620"/>
                <wp:wrapTight wrapText="bothSides">
                  <wp:wrapPolygon edited="1">
                    <wp:start x="0" y="0"/>
                    <wp:lineTo x="0" y="21490"/>
                    <wp:lineTo x="21482" y="21490"/>
                    <wp:lineTo x="21482" y="0"/>
                    <wp:lineTo x="0" y="0"/>
                  </wp:wrapPolygon>
                </wp:wrapTight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6540" cy="224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Президенту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Ассоциации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«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ГКИ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Можаеву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С.А.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86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  <w:highlight w:val="non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info@kadastrsro.ru</w:t>
                            </w:r>
                            <w:r/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-251659264;o:allowoverlap:true;o:allowincell:true;mso-position-horizontal-relative:margin;margin-left:251.55pt;mso-position-horizontal:absolute;mso-position-vertical-relative:text;margin-top:26.70pt;mso-position-vertical:absolute;width:220.20pt;height:176.40pt;mso-wrap-distance-left:9.00pt;mso-wrap-distance-top:3.60pt;mso-wrap-distance-right:9.00pt;mso-wrap-distance-bottom:3.60pt;v-text-anchor:top;visibility:visible;" wrapcoords="0 0 0 99491 99454 99491 99454 0 0 0" fillcolor="#FFFFFF" stroked="f" strokeweight="0.75pt">
                <w10:wrap type="tight"/>
                <v:textbox inset="0,0,0,0">
                  <w:txbxContent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Президенту</w:t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Ассоциации </w:t>
                      </w:r>
                      <w:r>
                        <w:rPr>
                          <w:sz w:val="28"/>
                          <w:szCs w:val="28"/>
                        </w:rPr>
                        <w:t xml:space="preserve">«</w:t>
                      </w:r>
                      <w:r>
                        <w:rPr>
                          <w:sz w:val="28"/>
                          <w:szCs w:val="28"/>
                        </w:rPr>
                        <w:t xml:space="preserve">ГКИ</w:t>
                      </w:r>
                      <w:r>
                        <w:rPr>
                          <w:sz w:val="28"/>
                          <w:szCs w:val="28"/>
                        </w:rPr>
                        <w:t xml:space="preserve">»</w:t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Можаеву</w:t>
                      </w:r>
                      <w:r>
                        <w:rPr>
                          <w:sz w:val="28"/>
                          <w:szCs w:val="28"/>
                        </w:rPr>
                        <w:t xml:space="preserve"> С.А.</w:t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86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  <w:highlight w:val="none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info@kadastrsro.ru</w:t>
                      </w:r>
                      <w:r/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0"/>
          <w:lang w:eastAsia="zh-CN"/>
        </w:rPr>
        <w:t xml:space="preserve">              </w:t>
      </w:r>
      <w:r>
        <w:rPr>
          <w:b/>
          <w:sz w:val="28"/>
          <w:szCs w:val="20"/>
          <w:lang w:eastAsia="zh-CN"/>
        </w:rPr>
        <w:t xml:space="preserve">    </w:t>
      </w:r>
      <w:r>
        <w:rPr>
          <w:b/>
          <w:sz w:val="28"/>
          <w:szCs w:val="20"/>
          <w:lang w:eastAsia="zh-CN"/>
        </w:rPr>
        <w:t xml:space="preserve">  </w:t>
      </w:r>
      <w:r>
        <w:rPr>
          <w:b/>
          <w:sz w:val="28"/>
          <w:szCs w:val="20"/>
          <w:lang w:eastAsia="zh-CN"/>
        </w:rPr>
      </w:r>
      <w:r>
        <w:rPr>
          <w:b/>
          <w:sz w:val="28"/>
          <w:szCs w:val="20"/>
          <w:lang w:eastAsia="zh-CN"/>
        </w:rPr>
      </w:r>
    </w:p>
    <w:tbl>
      <w:tblPr>
        <w:tblW w:w="48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</w:tblGrid>
      <w:tr>
        <w:tblPrEx/>
        <w:trPr>
          <w:trHeight w:val="3056"/>
        </w:trPr>
        <w:tc>
          <w:tcPr>
            <w:shd w:val="clear" w:color="auto" w:fill="auto"/>
            <w:tcMar>
              <w:left w:w="108" w:type="dxa"/>
              <w:top w:w="0" w:type="dxa"/>
              <w:right w:w="108" w:type="dxa"/>
              <w:bottom w:w="0" w:type="dxa"/>
            </w:tcMar>
            <w:tcW w:w="4820" w:type="dxa"/>
            <w:textDirection w:val="lrTb"/>
            <w:noWrap w:val="false"/>
          </w:tcPr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ФЕДЕРАЛЬНАЯ СЛУЖБА ГОСУДАРСТВЕННОЙ</w:t>
            </w: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РЕГИСТРАЦИИ, КАДАСТРА И КАРТОГРАФИИ</w:t>
            </w: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</w:p>
          <w:p>
            <w:pPr>
              <w:ind w:left="-283" w:right="0" w:firstLine="0"/>
              <w:jc w:val="center"/>
              <w:spacing w:line="360" w:lineRule="auto"/>
              <w:tabs>
                <w:tab w:val="left" w:pos="-142" w:leader="none"/>
              </w:tabs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(РОСРЕЕСТР)</w:t>
            </w: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</w:p>
          <w:p>
            <w:pPr>
              <w:ind w:left="-283" w:right="0" w:firstLine="0"/>
              <w:jc w:val="center"/>
              <w:keepNext/>
              <w:tabs>
                <w:tab w:val="left" w:pos="-142" w:leader="none"/>
              </w:tabs>
              <w:rPr>
                <w:b/>
                <w:sz w:val="16"/>
                <w:szCs w:val="16"/>
                <w:lang w:eastAsia="zh-CN"/>
              </w:rPr>
              <w:outlineLvl w:val="2"/>
            </w:pPr>
            <w:r>
              <w:rPr>
                <w:b/>
                <w:sz w:val="16"/>
                <w:szCs w:val="16"/>
                <w:lang w:eastAsia="zh-CN"/>
              </w:rPr>
              <w:t xml:space="preserve">УПРАВЛЕНИЕ ФЕДЕРАЛЬНОЙ СЛУЖБЫ</w:t>
            </w:r>
            <w:r>
              <w:rPr>
                <w:b/>
                <w:sz w:val="16"/>
                <w:szCs w:val="16"/>
                <w:lang w:eastAsia="zh-CN"/>
              </w:rPr>
            </w:r>
            <w:r>
              <w:rPr>
                <w:b/>
                <w:sz w:val="16"/>
                <w:szCs w:val="16"/>
                <w:lang w:eastAsia="zh-CN"/>
              </w:rPr>
            </w:r>
          </w:p>
          <w:p>
            <w:pPr>
              <w:ind w:left="-283" w:right="0" w:firstLine="0"/>
              <w:jc w:val="center"/>
              <w:keepNext/>
              <w:tabs>
                <w:tab w:val="left" w:pos="-142" w:leader="none"/>
              </w:tabs>
              <w:rPr>
                <w:b/>
                <w:sz w:val="16"/>
                <w:szCs w:val="16"/>
                <w:lang w:eastAsia="zh-CN"/>
              </w:rPr>
              <w:outlineLvl w:val="2"/>
            </w:pPr>
            <w:r>
              <w:rPr>
                <w:b/>
                <w:sz w:val="16"/>
                <w:szCs w:val="16"/>
                <w:lang w:eastAsia="zh-CN"/>
              </w:rPr>
              <w:t xml:space="preserve">ГОСУДАРСТВЕННОЙ РЕГИСТРАЦИИ, КАДАСТРА </w:t>
            </w:r>
            <w:r>
              <w:rPr>
                <w:b/>
                <w:sz w:val="16"/>
                <w:szCs w:val="16"/>
                <w:lang w:eastAsia="zh-CN"/>
              </w:rPr>
              <w:t xml:space="preserve">                             </w:t>
            </w:r>
            <w:r>
              <w:rPr>
                <w:b/>
                <w:sz w:val="16"/>
                <w:szCs w:val="16"/>
                <w:lang w:eastAsia="zh-CN"/>
              </w:rPr>
              <w:t xml:space="preserve">И КАРТОГРАФИИ ПО ПРИМОРСКОМУ КРАЮ</w:t>
            </w:r>
            <w:r>
              <w:rPr>
                <w:b/>
                <w:sz w:val="16"/>
                <w:szCs w:val="16"/>
                <w:lang w:eastAsia="zh-CN"/>
              </w:rPr>
            </w:r>
            <w:r>
              <w:rPr>
                <w:b/>
                <w:sz w:val="16"/>
                <w:szCs w:val="16"/>
                <w:lang w:eastAsia="zh-CN"/>
              </w:rPr>
            </w:r>
          </w:p>
          <w:p>
            <w:pPr>
              <w:ind w:left="-283" w:right="0" w:firstLine="0"/>
              <w:jc w:val="center"/>
              <w:keepNext/>
              <w:spacing w:line="360" w:lineRule="auto"/>
              <w:tabs>
                <w:tab w:val="left" w:pos="-142" w:leader="none"/>
              </w:tabs>
              <w:rPr>
                <w:b/>
                <w:sz w:val="16"/>
                <w:szCs w:val="16"/>
                <w:lang w:eastAsia="zh-CN"/>
              </w:rPr>
              <w:outlineLvl w:val="2"/>
            </w:pPr>
            <w:r>
              <w:rPr>
                <w:b/>
                <w:sz w:val="16"/>
                <w:szCs w:val="16"/>
                <w:lang w:eastAsia="zh-CN"/>
              </w:rPr>
              <w:t xml:space="preserve">(</w:t>
            </w:r>
            <w:r>
              <w:rPr>
                <w:b/>
                <w:sz w:val="14"/>
                <w:szCs w:val="14"/>
                <w:lang w:eastAsia="zh-CN"/>
              </w:rPr>
              <w:t xml:space="preserve">УПРАВЛЕНИЕ РОСРЕЕСТРА ПО</w:t>
            </w:r>
            <w:r>
              <w:rPr>
                <w:b/>
                <w:sz w:val="14"/>
                <w:szCs w:val="14"/>
                <w:lang w:eastAsia="zh-CN"/>
              </w:rPr>
              <w:t xml:space="preserve"> </w:t>
            </w:r>
            <w:r>
              <w:rPr>
                <w:b/>
                <w:sz w:val="14"/>
                <w:szCs w:val="14"/>
                <w:lang w:eastAsia="zh-CN"/>
              </w:rPr>
              <w:t xml:space="preserve">ПРИМОРСКОМУ КРАЮ)</w:t>
            </w:r>
            <w:r>
              <w:rPr>
                <w:b/>
                <w:sz w:val="16"/>
                <w:szCs w:val="16"/>
                <w:lang w:eastAsia="zh-CN"/>
              </w:rPr>
              <w:t xml:space="preserve"> </w:t>
            </w:r>
            <w:r>
              <w:rPr>
                <w:b/>
                <w:sz w:val="16"/>
                <w:szCs w:val="16"/>
                <w:lang w:eastAsia="zh-CN"/>
              </w:rPr>
            </w:r>
            <w:r>
              <w:rPr>
                <w:b/>
                <w:sz w:val="16"/>
                <w:szCs w:val="16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Посьетская ул., д. 48, Владивосток, 690090</w:t>
            </w: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тел. (423) 2413413, факс (423) 2413-404</w:t>
            </w:r>
            <w:r>
              <w:rPr>
                <w:sz w:val="18"/>
                <w:szCs w:val="18"/>
                <w:lang w:eastAsia="zh-CN"/>
              </w:rPr>
            </w:r>
            <w:r>
              <w:rPr>
                <w:sz w:val="18"/>
                <w:szCs w:val="18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rStyle w:val="860"/>
                <w:color w:val="000000" w:themeColor="text1"/>
                <w:sz w:val="16"/>
                <w:szCs w:val="16"/>
                <w:u w:val="none"/>
                <w:lang w:val="en-US" w:eastAsia="zh-CN"/>
              </w:rPr>
            </w:pP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e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-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mail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: 25_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upr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@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rosreestr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.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ru</w:t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  <w:t xml:space="preserve">,  </w:t>
            </w:r>
            <w:hyperlink r:id="rId11" w:tooltip="http://www.rosreestr.gov.ru" w:history="1"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http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://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www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.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rosreestr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.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gov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.</w:t>
              </w:r>
              <w:r>
                <w:rPr>
                  <w:rStyle w:val="860"/>
                  <w:color w:val="000000" w:themeColor="text1"/>
                  <w:sz w:val="16"/>
                  <w:szCs w:val="16"/>
                  <w:u w:val="none"/>
                  <w:lang w:val="en-US" w:eastAsia="zh-CN"/>
                </w:rPr>
                <w:t xml:space="preserve">ru</w:t>
              </w:r>
            </w:hyperlink>
            <w:r>
              <w:rPr>
                <w:rStyle w:val="860"/>
                <w:color w:val="000000" w:themeColor="text1"/>
                <w:sz w:val="16"/>
                <w:szCs w:val="16"/>
                <w:u w:val="none"/>
                <w:lang w:val="en-US" w:eastAsia="zh-CN"/>
              </w:rPr>
            </w:r>
            <w:r>
              <w:rPr>
                <w:rStyle w:val="860"/>
                <w:color w:val="000000" w:themeColor="text1"/>
                <w:sz w:val="16"/>
                <w:szCs w:val="16"/>
                <w:u w:val="none"/>
                <w:lang w:val="en-US"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color w:val="000000" w:themeColor="text1"/>
                <w:sz w:val="16"/>
                <w:szCs w:val="16"/>
                <w:lang w:val="en-US" w:eastAsia="zh-CN"/>
              </w:rPr>
            </w:pPr>
            <w:r/>
            <w:bookmarkStart w:id="0" w:name="_GoBack"/>
            <w:r/>
            <w:bookmarkEnd w:id="0"/>
            <w:r>
              <w:rPr>
                <w:color w:val="000000" w:themeColor="text1"/>
                <w:sz w:val="16"/>
                <w:szCs w:val="16"/>
                <w:lang w:val="en-US" w:eastAsia="zh-CN"/>
              </w:rPr>
            </w:r>
            <w:r>
              <w:rPr>
                <w:color w:val="000000" w:themeColor="text1"/>
                <w:sz w:val="16"/>
                <w:szCs w:val="16"/>
                <w:lang w:val="en-US"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val="en-US" w:eastAsia="zh-CN"/>
              </w:rPr>
            </w:r>
            <w:r>
              <w:rPr>
                <w:sz w:val="20"/>
                <w:szCs w:val="20"/>
                <w:lang w:val="en-US" w:eastAsia="zh-CN"/>
              </w:rPr>
            </w:r>
            <w:r>
              <w:rPr>
                <w:sz w:val="20"/>
                <w:szCs w:val="20"/>
                <w:lang w:val="en-US"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от</w:t>
            </w:r>
            <w:r>
              <w:rPr>
                <w:sz w:val="20"/>
                <w:szCs w:val="20"/>
                <w:lang w:eastAsia="zh-CN"/>
              </w:rPr>
              <w:t xml:space="preserve">  _____________</w:t>
            </w:r>
            <w:r>
              <w:rPr>
                <w:sz w:val="20"/>
                <w:szCs w:val="20"/>
                <w:lang w:eastAsia="zh-CN"/>
              </w:rPr>
              <w:t xml:space="preserve">№ _________________</w:t>
            </w:r>
            <w:r>
              <w:rPr>
                <w:sz w:val="20"/>
                <w:szCs w:val="20"/>
                <w:lang w:eastAsia="zh-CN"/>
              </w:rPr>
              <w:t xml:space="preserve">__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</w:r>
            <w:r>
              <w:rPr>
                <w:sz w:val="20"/>
                <w:szCs w:val="20"/>
                <w:lang w:eastAsia="zh-CN"/>
              </w:rPr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на №</w:t>
            </w:r>
            <w:r>
              <w:rPr>
                <w:sz w:val="20"/>
                <w:szCs w:val="20"/>
                <w:lang w:eastAsia="zh-CN"/>
              </w:rPr>
              <w:t xml:space="preserve">__</w:t>
            </w:r>
            <w:r>
              <w:rPr>
                <w:sz w:val="20"/>
                <w:szCs w:val="20"/>
                <w:lang w:eastAsia="zh-CN"/>
              </w:rPr>
              <w:t xml:space="preserve">_________________  от ______________</w:t>
            </w:r>
            <w:r>
              <w:rPr>
                <w:sz w:val="20"/>
                <w:szCs w:val="20"/>
                <w:lang w:eastAsia="zh-CN"/>
              </w:rPr>
            </w:r>
            <w:r>
              <w:rPr>
                <w:sz w:val="20"/>
                <w:szCs w:val="20"/>
                <w:lang w:eastAsia="zh-CN"/>
              </w:rPr>
            </w:r>
          </w:p>
          <w:p>
            <w:pPr>
              <w:ind w:left="-283" w:right="0" w:firstLine="0"/>
              <w:jc w:val="center"/>
              <w:tabs>
                <w:tab w:val="left" w:pos="-142" w:leader="none"/>
              </w:tabs>
              <w:rPr>
                <w:b/>
                <w:sz w:val="28"/>
                <w:szCs w:val="20"/>
                <w:lang w:eastAsia="zh-CN"/>
              </w:rPr>
            </w:pPr>
            <w:r>
              <w:rPr>
                <w:b/>
                <w:sz w:val="28"/>
                <w:szCs w:val="20"/>
                <w:lang w:eastAsia="zh-CN"/>
              </w:rPr>
            </w:r>
            <w:r>
              <w:rPr>
                <w:b/>
                <w:sz w:val="28"/>
                <w:szCs w:val="20"/>
                <w:lang w:eastAsia="zh-CN"/>
              </w:rPr>
            </w:r>
            <w:r>
              <w:rPr>
                <w:b/>
                <w:sz w:val="28"/>
                <w:szCs w:val="20"/>
                <w:lang w:eastAsia="zh-CN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>
        <w:rPr>
          <w:rFonts w:eastAsiaTheme="minorHAnsi"/>
          <w:color w:val="000000" w:themeColor="text1"/>
          <w:sz w:val="26"/>
          <w:szCs w:val="26"/>
          <w:lang w:eastAsia="en-US"/>
        </w:rPr>
      </w:r>
      <w:r>
        <w:rPr>
          <w:rFonts w:eastAsiaTheme="minorHAnsi"/>
          <w:color w:val="000000" w:themeColor="text1"/>
          <w:sz w:val="26"/>
          <w:szCs w:val="26"/>
          <w:lang w:eastAsia="en-US"/>
        </w:rPr>
      </w:r>
      <w:r>
        <w:rPr>
          <w:rFonts w:eastAsiaTheme="minorHAnsi"/>
          <w:color w:val="000000" w:themeColor="text1"/>
          <w:sz w:val="26"/>
          <w:szCs w:val="26"/>
          <w:lang w:eastAsia="en-US"/>
        </w:rPr>
      </w:r>
    </w:p>
    <w:p>
      <w:pPr>
        <w:pStyle w:val="854"/>
        <w:ind w:left="0" w:right="4536" w:firstLine="0"/>
        <w:jc w:val="both"/>
        <w:spacing w:after="0" w:line="240" w:lineRule="auto"/>
        <w:tabs>
          <w:tab w:val="left" w:pos="-14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нарушениях, допускаемых кадастровыми инженерами при формировании межевых и технических планов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0" w:firstLine="0"/>
        <w:rPr>
          <w:rFonts w:eastAsiaTheme="minorHAnsi" w:cstheme="minorBidi"/>
          <w:sz w:val="28"/>
          <w:szCs w:val="28"/>
          <w:highlight w:val="none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</w:r>
      <w:r>
        <w:rPr>
          <w:rFonts w:eastAsiaTheme="minorHAnsi" w:cstheme="minorBidi"/>
          <w:sz w:val="28"/>
          <w:szCs w:val="28"/>
          <w:highlight w:val="none"/>
          <w:lang w:eastAsia="en-US"/>
        </w:rPr>
      </w:r>
      <w:r>
        <w:rPr>
          <w:rFonts w:eastAsiaTheme="minorHAnsi" w:cstheme="minorBidi"/>
          <w:sz w:val="28"/>
          <w:szCs w:val="28"/>
          <w:highlight w:val="none"/>
          <w:lang w:eastAsia="en-US"/>
        </w:rPr>
      </w:r>
    </w:p>
    <w:p>
      <w:pPr>
        <w:ind w:left="0" w:right="0" w:firstLine="0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</w:r>
      <w:r>
        <w:rPr>
          <w:rFonts w:eastAsiaTheme="minorHAnsi" w:cstheme="minorBidi"/>
          <w:sz w:val="28"/>
          <w:szCs w:val="28"/>
          <w:lang w:eastAsia="en-US"/>
        </w:rPr>
      </w:r>
      <w:r>
        <w:rPr>
          <w:rFonts w:eastAsiaTheme="minorHAnsi" w:cstheme="minorBidi"/>
          <w:sz w:val="28"/>
          <w:szCs w:val="28"/>
          <w:lang w:eastAsia="en-US"/>
        </w:rPr>
      </w:r>
    </w:p>
    <w:p>
      <w:pPr>
        <w:pStyle w:val="86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Сергей Александрович!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целях</w:t>
      </w:r>
      <w:r>
        <w:rPr>
          <w:sz w:val="28"/>
          <w:szCs w:val="28"/>
        </w:rPr>
        <w:t xml:space="preserve"> повышения качества и доступности государственных </w:t>
      </w:r>
      <w:r>
        <w:rPr>
          <w:sz w:val="28"/>
          <w:szCs w:val="28"/>
        </w:rPr>
        <w:t xml:space="preserve">услуг Росреестра </w:t>
      </w:r>
      <w:r>
        <w:rPr>
          <w:sz w:val="28"/>
          <w:szCs w:val="28"/>
        </w:rPr>
        <w:t xml:space="preserve">Управление Росреестра по Прим</w:t>
      </w:r>
      <w:r>
        <w:rPr>
          <w:sz w:val="28"/>
          <w:szCs w:val="28"/>
        </w:rPr>
        <w:t xml:space="preserve">орскому краю (далее – Управление) проводит системную работу </w:t>
      </w:r>
      <w:r>
        <w:rPr>
          <w:sz w:val="28"/>
          <w:szCs w:val="28"/>
        </w:rPr>
        <w:t xml:space="preserve">по сокращению количества приостановлений и отказов в государственной регистрации прав и (или) государственном кадастровом учете (далее – приостановления, отказы).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Результат данной работы напрямую зависит от качества проведения кадастровых работ, так как основными причинами </w:t>
      </w:r>
      <w:r>
        <w:rPr>
          <w:sz w:val="28"/>
          <w:szCs w:val="28"/>
        </w:rPr>
        <w:t xml:space="preserve">приостановлений и отказов являются нарушения законодательства Российской Федерации, допускаемые кадастровыми инженерами при подготовке межевых и технических планов, </w:t>
      </w:r>
      <w:r>
        <w:rPr>
          <w:sz w:val="28"/>
          <w:szCs w:val="28"/>
        </w:rPr>
        <w:t xml:space="preserve">актов обследования, карт-планов территории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Вместе с тем информацию, доведенную Управлением на семинарах, кадас</w:t>
      </w:r>
      <w:r>
        <w:rPr>
          <w:sz w:val="28"/>
          <w:szCs w:val="28"/>
          <w:highlight w:val="none"/>
        </w:rPr>
        <w:t xml:space="preserve">тровые инженеры во внимание не принимают, на обращения  государственных регис</w:t>
      </w:r>
      <w:r>
        <w:rPr>
          <w:sz w:val="28"/>
          <w:szCs w:val="28"/>
          <w:highlight w:val="none"/>
        </w:rPr>
        <w:t xml:space="preserve">траторов прав с просьбой оперативно устранить выявленные недостатки не реагируют, подают </w:t>
      </w:r>
      <w:r>
        <w:rPr>
          <w:sz w:val="28"/>
          <w:szCs w:val="28"/>
          <w:highlight w:val="none"/>
        </w:rPr>
        <w:t xml:space="preserve">заявления о прекращении государственного кадастрового учета </w:t>
      </w:r>
      <w:r>
        <w:rPr>
          <w:sz w:val="28"/>
          <w:szCs w:val="28"/>
          <w:highlight w:val="none"/>
        </w:rPr>
        <w:t xml:space="preserve">либо  устраняют </w:t>
      </w:r>
      <w:r>
        <w:rPr>
          <w:sz w:val="28"/>
          <w:szCs w:val="28"/>
          <w:highlight w:val="none"/>
        </w:rPr>
        <w:t xml:space="preserve">выявленные в документах нарушения только</w:t>
      </w:r>
      <w:r>
        <w:rPr>
          <w:sz w:val="28"/>
          <w:szCs w:val="28"/>
          <w:highlight w:val="none"/>
        </w:rPr>
        <w:t xml:space="preserve"> после того, когда получат подготовленное </w:t>
      </w:r>
      <w:r>
        <w:rPr>
          <w:sz w:val="28"/>
          <w:szCs w:val="28"/>
        </w:rPr>
        <w:t xml:space="preserve">государственным регистратором прав решение о </w:t>
      </w:r>
      <w:r>
        <w:rPr>
          <w:sz w:val="28"/>
          <w:szCs w:val="28"/>
          <w:highlight w:val="none"/>
        </w:rPr>
        <w:t xml:space="preserve">приостановлении, в которое включен исчерпывающий перечень оснований к его принятию.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Такой подход в работе не позволяет кардинально снизить количество приостановлений и отказов, что негативно сказывается на удовлетворенности заявителей услугами Росреестра и </w:t>
      </w:r>
      <w:r>
        <w:rPr>
          <w:sz w:val="28"/>
          <w:szCs w:val="28"/>
        </w:rPr>
        <w:t xml:space="preserve">не позволяет улучшить позицию Приморского края в Национальном рейтинге инвестиционной привлекательности субъектов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ходе проведения правовой экспертизы документов, представленных для государственного кадастрового учета и (или) государственной регистрации прав (далее – ГКУ, ГРП), Управлением  выявлены нарушения, допущенные </w:t>
      </w:r>
      <w:r>
        <w:rPr>
          <w:sz w:val="28"/>
          <w:szCs w:val="28"/>
          <w:highlight w:val="none"/>
        </w:rPr>
        <w:t xml:space="preserve">кадастровыми инженерами, являющимися членами Ассоциации «Гильдия кадастровых инженеров», </w:t>
      </w:r>
      <w:r>
        <w:rPr>
          <w:sz w:val="28"/>
          <w:szCs w:val="28"/>
          <w:highlight w:val="none"/>
        </w:rPr>
        <w:t xml:space="preserve">при подготовке ими межевых и технических планов.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Так, по результатам проведения кадастровых работ кадастровым инженером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Раковской Анной Юрьевной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b w:val="0"/>
          <w:bCs w:val="0"/>
          <w:sz w:val="28"/>
          <w:szCs w:val="28"/>
          <w:highlight w:val="none"/>
        </w:rPr>
        <w:t xml:space="preserve">с нарушениями законодательства Российской Федерации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подготовлен межевой план, </w:t>
      </w:r>
      <w:r>
        <w:rPr>
          <w:sz w:val="28"/>
          <w:szCs w:val="28"/>
          <w:highlight w:val="none"/>
        </w:rPr>
        <w:t xml:space="preserve"> представленный с заявлением</w:t>
      </w:r>
      <w:r>
        <w:rPr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КУВД-001/2025-74791919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szCs w:val="28"/>
          <w:u w:val="none"/>
        </w:rPr>
        <w:t xml:space="preserve">что послужило основанием для принятия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Управлением решения о приостановлении.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По результатам проведения кадастровых работ кадастровым инженером </w:t>
      </w:r>
      <w:r>
        <w:rPr>
          <w:b/>
          <w:bCs/>
          <w:sz w:val="28"/>
          <w:szCs w:val="28"/>
          <w:highlight w:val="none"/>
        </w:rPr>
        <w:t xml:space="preserve">Еланцевой Татьяной Владимировной</w:t>
      </w:r>
      <w:r>
        <w:rPr>
          <w:sz w:val="28"/>
          <w:szCs w:val="28"/>
          <w:highlight w:val="none"/>
        </w:rPr>
        <w:t xml:space="preserve"> </w:t>
      </w:r>
      <w:r>
        <w:rPr>
          <w:b w:val="0"/>
          <w:bCs w:val="0"/>
          <w:sz w:val="28"/>
          <w:szCs w:val="28"/>
          <w:highlight w:val="none"/>
        </w:rPr>
        <w:t xml:space="preserve">с нарушениями законодательства Российской Федерации </w:t>
      </w:r>
      <w:r>
        <w:rPr>
          <w:sz w:val="28"/>
          <w:szCs w:val="28"/>
          <w:highlight w:val="none"/>
        </w:rPr>
        <w:t xml:space="preserve">подготовлен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технический план, представленный с заявлением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КУВД-001/2025-75536723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8"/>
          <w:szCs w:val="28"/>
          <w:u w:val="none"/>
        </w:rPr>
        <w:t xml:space="preserve">что послужило основанием для принятия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Управлением решения о приостановлении.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пунктами 2,3 и 14 части 8 статьи 30 </w:t>
      </w:r>
      <w:r>
        <w:rPr>
          <w:sz w:val="28"/>
          <w:szCs w:val="28"/>
        </w:rPr>
        <w:t xml:space="preserve">Федерального закона от 24.07.2007 </w:t>
      </w:r>
      <w:r>
        <w:rPr>
          <w:sz w:val="28"/>
          <w:szCs w:val="28"/>
        </w:rPr>
        <w:t xml:space="preserve">№ </w:t>
      </w:r>
      <w:r>
        <w:rPr>
          <w:sz w:val="28"/>
          <w:szCs w:val="28"/>
        </w:rPr>
        <w:t xml:space="preserve">221-ФЗ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кадастровой деятельности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(далее – Закон) обязанностью саморегулируемой организации кадастровых инженеров является осущест</w:t>
      </w:r>
      <w:r>
        <w:rPr>
          <w:sz w:val="28"/>
          <w:szCs w:val="28"/>
        </w:rPr>
        <w:t xml:space="preserve">вление контроля за соблюдением своими членами требований Закона, других федеральных законов, иных правовых актов Российской Федерации в области кадастровых отношений, рассмотрение жалоб на своих членов и применение к ним мер дисциплинарной ответственности.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На основан</w:t>
      </w:r>
      <w:r>
        <w:rPr>
          <w:sz w:val="28"/>
          <w:szCs w:val="28"/>
          <w:highlight w:val="none"/>
        </w:rPr>
        <w:t xml:space="preserve">ии вышеизложенного Управление просит в рамках реализации функции контроля провести проверки профессиональной деятельности кадастровых инженеров Раковской А.Ю. и Еланцевой Т.В. по вышеуказанным фактам и о принятых мерах уведомить Управление.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6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нормах действующего законодательства Российской Федерации, которые нарушены кадастровыми инженерами при подготовке межевых   и  технических    планов,   (в   табличной   форме)   и   подтверждающие    материалы   (</w:t>
      </w:r>
      <w:r>
        <w:rPr>
          <w:sz w:val="28"/>
          <w:szCs w:val="28"/>
        </w:rPr>
        <w:t xml:space="preserve">уведомления   о   приоста</w:t>
      </w:r>
      <w:r>
        <w:rPr>
          <w:sz w:val="28"/>
          <w:szCs w:val="28"/>
        </w:rPr>
        <w:t xml:space="preserve">новлении,   межевые   и технические планы, иные документы) </w:t>
      </w:r>
      <w:r>
        <w:rPr>
          <w:sz w:val="28"/>
          <w:szCs w:val="28"/>
        </w:rPr>
        <w:t xml:space="preserve">доступны по </w:t>
      </w:r>
      <w:r>
        <w:rPr>
          <w:sz w:val="28"/>
          <w:szCs w:val="28"/>
        </w:rPr>
        <w:t xml:space="preserve">ссылке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hyperlink r:id="rId12" w:tooltip="https://cloud.mail.ru/public/AGza/Jvfi3iwxQ" w:history="1">
        <w:r>
          <w:rPr>
            <w:rStyle w:val="860"/>
            <w:sz w:val="28"/>
            <w:szCs w:val="28"/>
          </w:rPr>
          <w:t xml:space="preserve">https://cloud.mail.ru/public/AGza/Jvfi3iwxQ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tabs>
          <w:tab w:val="left" w:pos="-14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tabs>
          <w:tab w:val="left" w:pos="-14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 w:line="240" w:lineRule="auto"/>
        <w:tabs>
          <w:tab w:val="left" w:pos="-142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jc w:val="both"/>
        <w:tabs>
          <w:tab w:val="left" w:pos="935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И.о. заместителя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6"/>
        <w:jc w:val="both"/>
        <w:tabs>
          <w:tab w:val="left" w:pos="9354" w:leader="none"/>
        </w:tabs>
        <w:rPr>
          <w:rFonts w:eastAsia="Times New Roman"/>
          <w:b/>
          <w:bCs/>
          <w:sz w:val="28"/>
          <w:szCs w:val="28"/>
          <w:lang w:eastAsia="zh-CN"/>
        </w:rPr>
      </w:pPr>
      <w:r>
        <w:rPr>
          <w:sz w:val="28"/>
          <w:szCs w:val="28"/>
        </w:rPr>
        <w:t xml:space="preserve">руководит</w:t>
      </w:r>
      <w:r>
        <w:rPr>
          <w:sz w:val="28"/>
          <w:szCs w:val="28"/>
        </w:rPr>
        <w:t xml:space="preserve">еля</w:t>
      </w:r>
      <w:r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 xml:space="preserve">                                                              А.П. Мезенин</w:t>
      </w:r>
      <w:r>
        <w:rPr>
          <w:rFonts w:eastAsia="Times New Roman"/>
          <w:b/>
          <w:bCs/>
          <w:sz w:val="28"/>
          <w:szCs w:val="28"/>
          <w:lang w:eastAsia="zh-CN"/>
        </w:rPr>
      </w:r>
      <w:r>
        <w:rPr>
          <w:rFonts w:eastAsia="Times New Roman"/>
          <w:b/>
          <w:bCs/>
          <w:sz w:val="28"/>
          <w:szCs w:val="28"/>
          <w:lang w:eastAsia="zh-CN"/>
        </w:rPr>
      </w:r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/>
      <w:r/>
    </w:p>
    <w:p>
      <w:pPr>
        <w:pStyle w:val="866"/>
      </w:pPr>
      <w:r>
        <w:t xml:space="preserve">Лебедева Екатерина Олеговна</w:t>
      </w:r>
      <w:r/>
    </w:p>
    <w:p>
      <w:pPr>
        <w:pStyle w:val="866"/>
      </w:pPr>
      <w:r>
        <w:t xml:space="preserve">8 (423) 245-49-23, доб. 1085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zh-CN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567" w:right="850" w:bottom="851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70759438"/>
      <w:docPartObj>
        <w:docPartGallery w:val="Page Numbers (Top of Page)"/>
        <w:docPartUnique w:val="true"/>
      </w:docPartObj>
      <w:rPr/>
    </w:sdtPr>
    <w:sdtContent>
      <w:p>
        <w:pPr>
          <w:pStyle w:val="86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4"/>
    <w:next w:val="854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5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4"/>
    <w:next w:val="854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5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5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5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5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5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5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4"/>
    <w:next w:val="854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5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4"/>
    <w:next w:val="854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5"/>
    <w:link w:val="699"/>
    <w:uiPriority w:val="10"/>
    <w:rPr>
      <w:sz w:val="48"/>
      <w:szCs w:val="48"/>
    </w:rPr>
  </w:style>
  <w:style w:type="paragraph" w:styleId="701">
    <w:name w:val="Subtitle"/>
    <w:basedOn w:val="854"/>
    <w:next w:val="854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5"/>
    <w:link w:val="701"/>
    <w:uiPriority w:val="11"/>
    <w:rPr>
      <w:sz w:val="24"/>
      <w:szCs w:val="24"/>
    </w:rPr>
  </w:style>
  <w:style w:type="paragraph" w:styleId="703">
    <w:name w:val="Quote"/>
    <w:basedOn w:val="854"/>
    <w:next w:val="854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4"/>
    <w:next w:val="854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5"/>
    <w:link w:val="862"/>
    <w:uiPriority w:val="99"/>
  </w:style>
  <w:style w:type="character" w:styleId="708">
    <w:name w:val="Footer Char"/>
    <w:basedOn w:val="855"/>
    <w:link w:val="864"/>
    <w:uiPriority w:val="99"/>
  </w:style>
  <w:style w:type="paragraph" w:styleId="709">
    <w:name w:val="Caption"/>
    <w:basedOn w:val="854"/>
    <w:next w:val="854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709"/>
    <w:link w:val="864"/>
    <w:uiPriority w:val="99"/>
  </w:style>
  <w:style w:type="table" w:styleId="711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1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2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3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4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5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6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8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9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0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1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2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3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5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6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7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8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9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0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alloon Text"/>
    <w:basedOn w:val="854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855"/>
    <w:link w:val="858"/>
    <w:uiPriority w:val="99"/>
    <w:semiHidden/>
    <w:rPr>
      <w:rFonts w:ascii="Segoe UI" w:hAnsi="Segoe UI" w:cs="Segoe UI"/>
      <w:sz w:val="18"/>
      <w:szCs w:val="18"/>
    </w:rPr>
  </w:style>
  <w:style w:type="character" w:styleId="860">
    <w:name w:val="Hyperlink"/>
    <w:basedOn w:val="855"/>
    <w:uiPriority w:val="99"/>
    <w:unhideWhenUsed/>
    <w:rPr>
      <w:color w:val="0563c1" w:themeColor="hyperlink"/>
      <w:u w:val="single"/>
    </w:rPr>
  </w:style>
  <w:style w:type="paragraph" w:styleId="861">
    <w:name w:val="List Paragraph"/>
    <w:basedOn w:val="854"/>
    <w:uiPriority w:val="34"/>
    <w:qFormat/>
    <w:pPr>
      <w:contextualSpacing/>
      <w:ind w:left="720"/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62">
    <w:name w:val="Header"/>
    <w:basedOn w:val="854"/>
    <w:link w:val="863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63" w:customStyle="1">
    <w:name w:val="Верхний колонтитул Знак"/>
    <w:basedOn w:val="855"/>
    <w:link w:val="862"/>
    <w:uiPriority w:val="99"/>
  </w:style>
  <w:style w:type="paragraph" w:styleId="864">
    <w:name w:val="Footer"/>
    <w:basedOn w:val="854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5"/>
    <w:link w:val="864"/>
    <w:uiPriority w:val="99"/>
  </w:style>
  <w:style w:type="paragraph" w:styleId="866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rosreestr.gov.ru" TargetMode="External"/><Relationship Id="rId12" Type="http://schemas.openxmlformats.org/officeDocument/2006/relationships/hyperlink" Target="https://cloud.mail.ru/public/AGza/Jvfi3iwxQ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3281F-FDB4-4B0A-9C64-2CD36E7C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Шокин Вадим Вячеславович</dc:creator>
  <cp:keywords/>
  <dc:description/>
  <cp:lastModifiedBy>lebedevaeo</cp:lastModifiedBy>
  <cp:revision>25</cp:revision>
  <dcterms:created xsi:type="dcterms:W3CDTF">2024-10-17T01:55:00Z</dcterms:created>
  <dcterms:modified xsi:type="dcterms:W3CDTF">2026-01-30T04:50:12Z</dcterms:modified>
</cp:coreProperties>
</file>